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2008/23 vom 6. August 2008</w:t>
      </w:r>
    </w:p>
    <w:p>
      <w:r>
        <w:t>Sg Versicherungsgericht, 2008-08-06, DE</w:t>
      </w:r>
    </w:p>
    <w:p>
      <w:r>
        <w:rPr>
          <w:b/>
        </w:rPr>
        <w:t xml:space="preserve">Quelle: </w:t>
      </w:r>
      <w:r>
        <w:t>https://mcp.opencaselaw.ch/entscheid/sg_publikationen_UV 2008_23</w:t>
      </w:r>
    </w:p>
    <w:p>
      <w:r>
        <w:t>FR: SG_VERSICHERUNGSGERICHT UV 2008/23 du 6 août 2008</w:t>
      </w:r>
    </w:p>
    <w:p>
      <w:r>
        <w:t>IT: SG_VERSICHERUNGSGERICHT UV 2008/23 del 6 agosto 2008</w:t>
      </w:r>
    </w:p>
    <w:p>
      <w:pPr>
        <w:pStyle w:val="Heading2"/>
      </w:pPr>
      <w:r>
        <w:t>Regeste</w:t>
      </w:r>
    </w:p>
    <w:p>
      <w:r>
        <w:t>Art. 18 Abs. 1 UVG, Art. 17 Abs. 1 ATSG: Anpassung der Invalidenrente. Die Beschwerdegegnerin hat bei der Berechnung des Valideneinkommens zu Recht auf das bereits bei der letzten Rentenrevision verwendete hypothetische Valideneinkommen abgestellt, unter Berücksichtigung der Nominallohnentwicklung bis ins Jahr der Rentenrevision (Entscheid des Versicherungsgerichts des Kantons St. Gallen vom 6. August 2008, UV 2008/23).</w:t>
      </w:r>
    </w:p>
    <w:p>
      <w:pPr>
        <w:pStyle w:val="Heading2"/>
      </w:pPr>
      <w:r>
        <w:t>Erwägungen</w:t>
      </w:r>
    </w:p>
    <w:p>
      <w:r>
        <w:rPr>
          <w:b/>
        </w:rPr>
        <w:t>E. 1</w:t>
      </w:r>
    </w:p>
    <w:p>
      <w:r>
        <w:t>Gegenstand des vorliegenden Verfahrens bildet die Frage, ob die Voraussetzungen für eine Rentenrevision nach Art. 17 Abs. 1 ATSG erfüllt sind und die Beschwerdegegnerin somit zu Recht den Invaliditätsgrad von 20% auf 14% reduziert hat.</w:t>
      </w:r>
    </w:p>
    <w:p>
      <w:r>
        <w:rPr>
          <w:b/>
        </w:rPr>
        <w:t>E. 2</w:t>
      </w:r>
    </w:p>
    <w:p>
      <w:r>
        <w:t>Die gesetzlichen Voraussetzungen für den Anspruch auf eine Invalidenrente und deren Berechnungsweise hat die Beschwerdegegnerin im angefochtenen Einspracheentscheid zutreffend dargelegt, darauf kann verwiesen werden.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 Praxisgemäss ist in der Unfallversicherung eine absolute Veränderung des Invaliditätsgrads von 5% als erheblich zu bezeichnen (Ueli Kieser, ATSG-Kommentar, Art. 17 Rz. 15). Ob eine revisionsbegründende Änderung eingetreten ist, beurteilt sich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 2) bzw. des Einspracheentscheids (vgl. Entscheid des Bundesgerichts i/S V. vom 5. Februar 2007, I 817/05).</w:t>
      </w:r>
    </w:p>
    <w:p>
      <w:r>
        <w:rPr>
          <w:b/>
        </w:rPr>
        <w:t>E. 3</w:t>
      </w:r>
    </w:p>
    <w:p>
      <w:r>
        <w:t>3.1     Im vorliegenden Verfahren ist unbestritten geblieben, dass sich das Invalideneinkommen des Beschwerdeführers ab 1. Januar 2007 auf Fr. 63'050.-- erhöht hat. Auf diesen Wert kann bei der Ermittlung des Invaliditätsgrads abgestellt werden. Uneinigkeit besteht hingegen bei der Höhe des Valideneinkommens. Die Beschwerdegegnerin hat im angefochtenen Einspracheentscheid das Valideneinkommen aufgrund den bei der im Jahr 2000 durchgeführten Rentenrevision konkret erhobenen Löhnen durchgeführt. Dabei wurde für das Jahr 2000 ein Lohn von Fr. 5'100.-- ermittelt, welcher gemäss Nominallohnindex auf das Jahr 2006 aufgerechnet wurde und schliesslich unter Berücksichtigung einer Teuerung für das Jahr 2007 von 1.5% ein Einkommen von Fr. 5'615.20 pro Monat ergab. Der Beschwerdeführer berücksichtigte bei der Ermittlung des Valideneinkommens hingegen die LSE 2006 für die Regionen Rapperswil-Jona und für die Ostschweiz, unter Berücksichtigung einer Teuerung für das Jahr 2007 von 1.5% und inklusive eines 13. Monatslohn. In der Beschwerdeantwort ermittelte die Beschwerdegegnerin das Valideneinkommen auf der Basis der LSE 2006. Der Jahresbruttolohn wurde schlussendlich um 3.2% angehoben, nachdem der im Jahr 2000 festgelegte Lohn von Fr. 5'100.-- zu diesem Zeitpunkt 3.2% über dem Lohn gemäss der LSE 2000 lag. 3.2    Das Valideneinkommen ist nach der Rechtsprechung als eine der Vergleichsgrössen beim Einkommensvergleich im Rentenrevisionsprozess ohne Bindung an die der ursprünglichen Rentenverfügung zu Grunde liegende Qualifikation frei überprüfbar (AHI 2002 S. 164 ff.). Es gilt zwar eine Vermutung dafür, dass der zuletzt erzielte, der Teuerung sowie der realen Einkommensentwicklung angepasste Verdienst aus der ursprünglichen Rentenfestsetzung als Bezugsgrösse bestehen bleiben muss (nicht veröffentlichter Entscheid des Versicherungsgerichts des Kantons St. Gallen i/S B.K. vom 4. April 2007). Bei der Ermittlung des ohne Invalidität vom Versicherten erzielbaren Einkommens ist entscheidend, was er im massgebenden Zeitpunkt nach dem Beweisgrad der überwiegenden Wahrscheinlichkeit als Gesunder tatsächlich verdienen würde (RKUV 1993 Nr. U 168 S. 100 E. 3b mit Hinweis). Die Einkommensermittlung hat so konkret wie möglich zu erfolgen. Es ist daher in der Regel vom letzten Lohn, welchen der Versicherte vor Eintritt der Gesundheitsschädigung erzielt hat, auszugehen (Entscheid des Bundesgerichts i/S Z. vom 4. Juni 2007, I 458/06, Erw. 3.2). Dabei wird in der Regel am zuletzt erzielten, nötigenfalls der Teuerung und der realen Einkommensentwicklung angepassten Verdienst angeknüpft, da es empirischer Erfahrung entspricht, dass die bisherige Tätigkeit ohne Gesundheitsschaden fortgesetzt worden wäre (Entscheid des Eidgenössischen Versicherungsgerichts i/S S. vom 27. Februar 2004, I 601/03, Erw. 5.1.1). 3.3    Aufgrund der vorliegenden Akten sind keine Hinweise ersichtlich, dass der Beschwerdeführer ohne Gesundheitsschaden nicht weiterhin als Monteur tätig gewesen wäre. Dies wird im Übrigen vom Rechtsvertreter des Beschwerdeführers auch nicht geltend gemacht. Dementsprechend ist als Valideneinkommen derjenige Lohn einzusetzen, welcher der Beschwerdeführer als Monteur erzielen würde. Anlässlich der Rentenrevision im Jahr 2000 hat die Beschwerdegegnerin bei verschiedenen Arbeitgebern eine konkrete Lohnerhebung für die Tätigkeit als Monteur durchgeführt und einen Durchschnittslohn von Fr. 5'100.-- ermittelt. Dieser Wert aus der letzten Rentenberechnung bildet somit die Bezugsgrösse für die Festsetzung des Valideneinkommens im vorliegenden Verfahren. Es sind keine Gründe ersichtlich, weshalb für die Festlegung des Valideneinkommens auf die LSE abgestellt werden sollte. Insbesondere gilt es festzuhalten, dass die vom Beschwerdeführer in der Beschwerde durchgeführte Ermittlung des Valideneinkommens anhand der LSE nach Grossregionen gemäss höchstrichterlicher Rechtsprechung nicht zulässig ist (SVR 2007, UV Nr. 17; Entscheid des Eidgenössischen Versicherungsgerichts i/S S. vom 12. Oktober 2006. U 75/03). Zudem hat der Beschwerdeführer bei der Berechnung des Valideneinkommens fälschlicherweise einen 13. Monatslohn berücksichtigt. Beim monatlichen Bruttolohn anhand der LSE ist der 13. Monatslohn bereits anteilmässig enthalten. Es kann somit der Berechnung der Beschwerdegegnerin im Einspracheentscheid gefolgt werden, wonach der im Jahr 2000 ermittelte Lohn von Fr. 5'100.-- die Ausgangsgrösse des Valideneinkommens bildet. Im angefochtenen Entscheid hat die Beschwerdegegnerin das hypothetische Valideneinkommen aus dem Jahr 2000 nach dem Nominallohnindex auf das Jahr 2007 aufgerechnet, wobei sie für das Jahr 2007 eine Teuerung von 1.5% berücksichtigt hat. Als Nominallohnindex wurde der Bereich "Erzeugung und Bearbeitung von Metall, Herstellung von Metallerzeugnissen" verwendet. Voraussetzung für den Einkommensvergleich ist, dass Validen- und Invalideneinkommen auf zeitidentischer Grundlage ermittelt werden (BGE 128 V 174). Nachdem für das Invalideneinkommen der tatsächliche Verdienst aus dem Jahr 2007 berücksichtigt wurde, ist auch der Validenlohn auf das Jahr 2007 aufzurechnen. Die Beschwerdegegnerin hat im Einspracheentscheid das Valideneinkommen aus dem Jahr 2000 entsprechend der Nominallohnentwicklung auf das Jahr 2006 aufgerechnet und für das Jahr 2007 eine Teuerung von 1.5% angenommen. Diesbezüglich gilt es festzuhalten, dass nicht die Teuerung für das Jahr 2007, sondern die Nominallohnentwicklung für 2007 zu berücksichtigten ist. Nachdem allerdings die Nominallohnentwicklung im Sektor 2 der Wirtschaftszweige (Nominallohnindex gemäss Bundesamt für Statistik) für das Jahr 2007 im Vergleich zum Vorjahr um 1.5% gestiegen ist, ist das durch die Beschwerdegegnerin im angefochtenen Einspracheentscheid ermittelte Valideneinkommen in der Höhe von 72'997.40 im Ergebnis nicht zu beanstanden. 3.4    Nachdem der Einkommensvergleich einen Invaliditätsgrad von gerundet 14% und damit eine Veränderung von mehr als 5 % ergibt, hat die Beschwerdegegnerin die Anpassung der Rente zu Recht vorgenommen. Der Einspracheentscheid ist diesbezüglich nicht zu beanstanden.</w:t>
      </w:r>
    </w:p>
    <w:p>
      <w:r>
        <w:rPr>
          <w:b/>
        </w:rPr>
        <w:t>E. 4</w:t>
      </w:r>
    </w:p>
    <w:p>
      <w:r>
        <w:t>Im Sinn der vorstehenden Erwägungen ist die Beschwerde abzuweisen. Gerichtskosten sind keine zu erheben (Art. 61 lit. a ATSG). Demgemäss hat das Versicherungsgericht im Zirkulationsverfahren gemäss Art. 53 GerG entschieden: 1.        Der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